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12" w:lineRule="auto"/>
        <w:jc w:val="center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z w:val="35"/>
          <w:szCs w:val="35"/>
          <w:lang w:val="en-US" w:eastAsia="zh-CN"/>
        </w:rPr>
        <w:t>西湖管理区2022年</w:t>
      </w:r>
      <w:r>
        <w:rPr>
          <w:rFonts w:hint="eastAsia" w:ascii="方正小标宋_GBK" w:hAnsi="方正小标宋_GBK" w:eastAsia="方正小标宋_GBK" w:cs="方正小标宋_GBK"/>
          <w:spacing w:val="10"/>
          <w:sz w:val="35"/>
          <w:szCs w:val="35"/>
        </w:rPr>
        <w:t>乡村振兴项目库动态调整项目</w:t>
      </w:r>
      <w:r>
        <w:rPr>
          <w:rFonts w:hint="eastAsia" w:ascii="方正小标宋_GBK" w:hAnsi="方正小标宋_GBK" w:eastAsia="方正小标宋_GBK" w:cs="方正小标宋_GBK"/>
          <w:spacing w:val="10"/>
          <w:sz w:val="35"/>
          <w:szCs w:val="35"/>
          <w:lang w:eastAsia="zh-CN"/>
        </w:rPr>
        <w:t>审定</w:t>
      </w:r>
      <w:r>
        <w:rPr>
          <w:rFonts w:hint="eastAsia" w:ascii="方正小标宋_GBK" w:hAnsi="方正小标宋_GBK" w:eastAsia="方正小标宋_GBK" w:cs="方正小标宋_GBK"/>
          <w:spacing w:val="10"/>
          <w:sz w:val="35"/>
          <w:szCs w:val="35"/>
        </w:rPr>
        <w:t>表</w:t>
      </w:r>
    </w:p>
    <w:p>
      <w:pPr>
        <w:tabs>
          <w:tab w:val="left" w:pos="4551"/>
        </w:tabs>
        <w:spacing w:line="183" w:lineRule="auto"/>
        <w:ind w:left="4376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z w:val="35"/>
          <w:szCs w:val="35"/>
        </w:rPr>
        <w:tab/>
      </w:r>
      <w:r>
        <w:rPr>
          <w:rFonts w:hint="eastAsia" w:ascii="方正小标宋_GBK" w:hAnsi="方正小标宋_GBK" w:eastAsia="方正小标宋_GBK" w:cs="方正小标宋_GBK"/>
          <w:spacing w:val="24"/>
          <w:sz w:val="35"/>
          <w:szCs w:val="35"/>
        </w:rPr>
        <w:t>(</w:t>
      </w:r>
      <w:r>
        <w:rPr>
          <w:rFonts w:hint="eastAsia" w:ascii="方正小标宋_GBK" w:hAnsi="方正小标宋_GBK" w:eastAsia="方正小标宋_GBK" w:cs="方正小标宋_GBK"/>
          <w:spacing w:val="22"/>
          <w:sz w:val="35"/>
          <w:szCs w:val="35"/>
        </w:rPr>
        <w:t>入库项目关键信息调整)</w:t>
      </w:r>
    </w:p>
    <w:p>
      <w:pPr>
        <w:spacing w:before="48" w:line="227" w:lineRule="auto"/>
        <w:ind w:left="363"/>
        <w:rPr>
          <w:rFonts w:hint="default" w:ascii="Times New Roman" w:hAnsi="Times New Roman" w:eastAsia="仿宋" w:cs="Times New Roman"/>
          <w:sz w:val="17"/>
          <w:szCs w:val="17"/>
          <w:lang w:val="en-US" w:eastAsia="zh-CN"/>
        </w:rPr>
      </w:pPr>
      <w:r>
        <w:rPr>
          <w:rFonts w:ascii="仿宋" w:hAnsi="仿宋" w:eastAsia="仿宋" w:cs="仿宋"/>
          <w:spacing w:val="-1"/>
          <w:sz w:val="17"/>
          <w:szCs w:val="17"/>
        </w:rPr>
        <w:t>单位：  (盖章)</w:t>
      </w:r>
      <w:r>
        <w:rPr>
          <w:rFonts w:hint="eastAsia" w:ascii="仿宋" w:hAnsi="仿宋" w:eastAsia="仿宋" w:cs="仿宋"/>
          <w:spacing w:val="-1"/>
          <w:sz w:val="17"/>
          <w:szCs w:val="17"/>
        </w:rPr>
        <w:t>中共常德市西湖管理区委实施乡村振兴战略领导小组</w:t>
      </w:r>
      <w:r>
        <w:rPr>
          <w:rFonts w:ascii="仿宋" w:hAnsi="仿宋" w:eastAsia="仿宋" w:cs="仿宋"/>
          <w:spacing w:val="-1"/>
          <w:sz w:val="17"/>
          <w:szCs w:val="17"/>
        </w:rPr>
        <w:t xml:space="preserve">     </w:t>
      </w:r>
      <w:r>
        <w:rPr>
          <w:rFonts w:ascii="仿宋" w:hAnsi="仿宋" w:eastAsia="仿宋" w:cs="仿宋"/>
          <w:sz w:val="17"/>
          <w:szCs w:val="17"/>
        </w:rPr>
        <w:t xml:space="preserve">                                                       时间：</w:t>
      </w:r>
      <w:r>
        <w:rPr>
          <w:rFonts w:hint="eastAsia" w:ascii="仿宋" w:hAnsi="仿宋" w:eastAsia="仿宋" w:cs="仿宋"/>
          <w:sz w:val="17"/>
          <w:szCs w:val="17"/>
          <w:lang w:val="en-US" w:eastAsia="zh-CN"/>
        </w:rPr>
        <w:t>2022年3月14日</w:t>
      </w:r>
    </w:p>
    <w:p>
      <w:pPr>
        <w:spacing w:before="23" w:line="224" w:lineRule="auto"/>
        <w:rPr>
          <w:rFonts w:ascii="仿宋" w:hAnsi="仿宋" w:eastAsia="仿宋" w:cs="仿宋"/>
          <w:sz w:val="17"/>
          <w:szCs w:val="17"/>
        </w:rPr>
      </w:pPr>
    </w:p>
    <w:tbl>
      <w:tblPr>
        <w:tblStyle w:val="7"/>
        <w:tblW w:w="13506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8"/>
        <w:gridCol w:w="1131"/>
        <w:gridCol w:w="512"/>
        <w:gridCol w:w="610"/>
        <w:gridCol w:w="657"/>
        <w:gridCol w:w="657"/>
        <w:gridCol w:w="657"/>
        <w:gridCol w:w="1767"/>
        <w:gridCol w:w="727"/>
        <w:gridCol w:w="825"/>
        <w:gridCol w:w="813"/>
        <w:gridCol w:w="1087"/>
        <w:gridCol w:w="1725"/>
        <w:gridCol w:w="1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实施地点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建设性质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实施年度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时间进度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责任单 位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建设</w:t>
            </w:r>
            <w:r>
              <w:rPr>
                <w:rFonts w:hint="eastAsia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项目预算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总投资( 万 元)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</w:t>
            </w:r>
          </w:p>
        </w:tc>
        <w:tc>
          <w:tcPr>
            <w:tcW w:w="10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绩效目标</w:t>
            </w:r>
          </w:p>
        </w:tc>
        <w:tc>
          <w:tcPr>
            <w:tcW w:w="1725" w:type="dxa"/>
            <w:vMerge w:val="restart"/>
            <w:tcBorders>
              <w:bottom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利益联结机制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>
            <w:pPr>
              <w:spacing w:line="311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0" w:lineRule="auto"/>
              <w:ind w:firstLine="440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12" w:type="dxa"/>
            <w:vMerge w:val="continue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</w:p>
        </w:tc>
        <w:tc>
          <w:tcPr>
            <w:tcW w:w="657" w:type="dxa"/>
            <w:vMerge w:val="continue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56" w:line="229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财政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资</w:t>
            </w:r>
          </w:p>
          <w:p>
            <w:pPr>
              <w:spacing w:before="22" w:line="267" w:lineRule="auto"/>
              <w:ind w:left="185" w:right="80" w:hanging="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6"/>
                <w:sz w:val="21"/>
                <w:szCs w:val="21"/>
              </w:rPr>
              <w:t>金</w:t>
            </w:r>
            <w:r>
              <w:rPr>
                <w:rFonts w:ascii="仿宋" w:hAnsi="仿宋" w:eastAsia="仿宋" w:cs="仿宋"/>
                <w:spacing w:val="35"/>
                <w:sz w:val="21"/>
                <w:szCs w:val="21"/>
              </w:rPr>
              <w:t>(万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元</w:t>
            </w:r>
            <w:r>
              <w:rPr>
                <w:rFonts w:ascii="仿宋" w:hAnsi="仿宋" w:eastAsia="仿宋" w:cs="仿宋"/>
                <w:sz w:val="21"/>
                <w:szCs w:val="21"/>
              </w:rPr>
              <w:t>)</w:t>
            </w:r>
          </w:p>
        </w:tc>
        <w:tc>
          <w:tcPr>
            <w:tcW w:w="813" w:type="dxa"/>
            <w:vAlign w:val="top"/>
          </w:tcPr>
          <w:p>
            <w:pPr>
              <w:spacing w:before="55" w:line="227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他资</w:t>
            </w:r>
          </w:p>
          <w:p>
            <w:pPr>
              <w:spacing w:before="24" w:line="267" w:lineRule="auto"/>
              <w:ind w:left="184" w:right="80" w:hanging="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6"/>
                <w:sz w:val="21"/>
                <w:szCs w:val="21"/>
              </w:rPr>
              <w:t>金</w:t>
            </w:r>
            <w:r>
              <w:rPr>
                <w:rFonts w:ascii="仿宋" w:hAnsi="仿宋" w:eastAsia="仿宋" w:cs="仿宋"/>
                <w:spacing w:val="35"/>
                <w:sz w:val="21"/>
                <w:szCs w:val="21"/>
              </w:rPr>
              <w:t>(万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元</w:t>
            </w:r>
            <w:r>
              <w:rPr>
                <w:rFonts w:ascii="仿宋" w:hAnsi="仿宋" w:eastAsia="仿宋" w:cs="仿宋"/>
                <w:sz w:val="21"/>
                <w:szCs w:val="21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黄泥湖村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西湖牧业小镇百草园建设项目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区乡村振兴局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建设围墙100米；蓄水池500立方米；砖砌明沟500米，绿化2700平方米；步道300米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完善产业设施，118人受益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完善产业基地，通过土地流转、务工、分红带动群众增收。</w:t>
            </w:r>
          </w:p>
        </w:tc>
        <w:tc>
          <w:tcPr>
            <w:tcW w:w="1163" w:type="dxa"/>
            <w:vAlign w:val="center"/>
          </w:tcPr>
          <w:p>
            <w:pPr>
              <w:spacing w:before="120" w:line="227" w:lineRule="auto"/>
              <w:ind w:left="33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黄泥湖村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百草园提质改造工程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区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农业农村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步道702平方米、砖砌明沟378米、绿化917平方米等。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完善产业设施，118人受益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完善产业基地，通过土地流转、务工、分红带动群众增收。</w:t>
            </w:r>
          </w:p>
        </w:tc>
        <w:tc>
          <w:tcPr>
            <w:tcW w:w="1163" w:type="dxa"/>
            <w:vAlign w:val="center"/>
          </w:tcPr>
          <w:p>
            <w:pPr>
              <w:spacing w:before="158" w:line="229" w:lineRule="auto"/>
              <w:ind w:left="33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黄泥湖村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德人牧业二牧场三牛舍建设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丰润公司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新建1栋1层钢结构牛舍，总建筑面积：4180.38m2.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完善产业设施，不少于120人受益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完善产业基地，通过土地流转、务工、分红带动群众增收。</w:t>
            </w:r>
          </w:p>
        </w:tc>
        <w:tc>
          <w:tcPr>
            <w:tcW w:w="1163" w:type="dxa"/>
            <w:vAlign w:val="center"/>
          </w:tcPr>
          <w:p>
            <w:pPr>
              <w:spacing w:before="120" w:line="227" w:lineRule="auto"/>
              <w:ind w:left="330" w:lef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黄泥湖村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西湖牧业小镇二牧场牛舍建设项目（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期）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丰润公司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新建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钢结构牛舍4554㎡，回填土方3334m³，新建混凝土路面890㎡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完善产业设施，不少于120人受益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完善产业基地，通过土地流转、务工、分红带动群众增收。</w:t>
            </w:r>
          </w:p>
        </w:tc>
        <w:tc>
          <w:tcPr>
            <w:tcW w:w="1163" w:type="dxa"/>
            <w:vAlign w:val="center"/>
          </w:tcPr>
          <w:p>
            <w:pPr>
              <w:spacing w:before="158" w:line="229" w:lineRule="auto"/>
              <w:ind w:left="330" w:lef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西湖区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脱贫人员务工交通补贴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就业项目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区乡村振兴局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脱贫人员外出务工补助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对符合条件的脱贫人员实施就行补助</w:t>
            </w:r>
          </w:p>
        </w:tc>
        <w:tc>
          <w:tcPr>
            <w:tcW w:w="172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减轻符合条件的脱贫人员就业负担</w:t>
            </w:r>
          </w:p>
        </w:tc>
        <w:tc>
          <w:tcPr>
            <w:tcW w:w="1163" w:type="dxa"/>
            <w:vAlign w:val="center"/>
          </w:tcPr>
          <w:p>
            <w:pPr>
              <w:spacing w:before="120" w:line="227" w:lineRule="auto"/>
              <w:ind w:left="33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西湖区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脱贫人员务工交通补贴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就业项目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区乡村振兴局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脱贫人员外出务工补助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对符合条件的脱贫人员实施就行补助</w:t>
            </w:r>
          </w:p>
        </w:tc>
        <w:tc>
          <w:tcPr>
            <w:tcW w:w="1725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减轻符合条件的脱贫人员就业负担</w:t>
            </w:r>
          </w:p>
        </w:tc>
        <w:tc>
          <w:tcPr>
            <w:tcW w:w="1163" w:type="dxa"/>
            <w:vAlign w:val="center"/>
          </w:tcPr>
          <w:p>
            <w:pPr>
              <w:spacing w:before="158" w:line="229" w:lineRule="auto"/>
              <w:ind w:left="330" w:leftChars="0"/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7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西湖区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西湖区小额信贷贴息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区乡村振兴局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132户享受小额信贷贴息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小额信贷贴息132户</w:t>
            </w:r>
          </w:p>
        </w:tc>
        <w:tc>
          <w:tcPr>
            <w:tcW w:w="172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通过贴息和分红，使脱贫人口受益</w:t>
            </w:r>
          </w:p>
        </w:tc>
        <w:tc>
          <w:tcPr>
            <w:tcW w:w="1163" w:type="dxa"/>
            <w:vAlign w:val="center"/>
          </w:tcPr>
          <w:p>
            <w:pPr>
              <w:spacing w:before="120" w:line="227" w:lineRule="auto"/>
              <w:ind w:left="33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西湖区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西湖区小额信贷贴息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1-12月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区乡村振兴局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132户享受小额信贷贴息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小额信贷贴息132户</w:t>
            </w:r>
          </w:p>
        </w:tc>
        <w:tc>
          <w:tcPr>
            <w:tcW w:w="1725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通过贴息和分红，使脱贫人口受益</w:t>
            </w:r>
          </w:p>
        </w:tc>
        <w:tc>
          <w:tcPr>
            <w:tcW w:w="1163" w:type="dxa"/>
            <w:vAlign w:val="center"/>
          </w:tcPr>
          <w:p>
            <w:pPr>
              <w:spacing w:before="158" w:line="229" w:lineRule="auto"/>
              <w:ind w:left="330" w:leftChars="0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整后</w:t>
            </w:r>
          </w:p>
        </w:tc>
      </w:tr>
    </w:tbl>
    <w:p>
      <w:pPr>
        <w:spacing w:before="27" w:line="228" w:lineRule="auto"/>
        <w:ind w:left="363"/>
        <w:sectPr>
          <w:footerReference r:id="rId5" w:type="default"/>
          <w:pgSz w:w="16838" w:h="11906"/>
          <w:pgMar w:top="400" w:right="1787" w:bottom="1125" w:left="1447" w:header="0" w:footer="886" w:gutter="0"/>
          <w:cols w:space="720" w:num="1"/>
        </w:sect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M2ZiM2I2NTNmZDllMzhjZTk0YzIzNmRjMTQ3NTQifQ=="/>
  </w:docVars>
  <w:rsids>
    <w:rsidRoot w:val="58C147D3"/>
    <w:rsid w:val="0B5C0CD2"/>
    <w:rsid w:val="0F770C07"/>
    <w:rsid w:val="0F883044"/>
    <w:rsid w:val="21156D88"/>
    <w:rsid w:val="25E96F91"/>
    <w:rsid w:val="2BEB110E"/>
    <w:rsid w:val="339643B2"/>
    <w:rsid w:val="43817882"/>
    <w:rsid w:val="4D305A92"/>
    <w:rsid w:val="58C147D3"/>
    <w:rsid w:val="5BF22971"/>
    <w:rsid w:val="6ACD0940"/>
    <w:rsid w:val="6B811473"/>
    <w:rsid w:val="79FF0536"/>
    <w:rsid w:val="7AE736EB"/>
    <w:rsid w:val="7BB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Theme="majorEastAsia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"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971</Characters>
  <Lines>0</Lines>
  <Paragraphs>0</Paragraphs>
  <TotalTime>19</TotalTime>
  <ScaleCrop>false</ScaleCrop>
  <LinksUpToDate>false</LinksUpToDate>
  <CharactersWithSpaces>1039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2022-09-05T06:27:00Z</dcterms:created>
  <dc:creator>青柠</dc:creator>
  <cp:lastModifiedBy>来来来</cp:lastModifiedBy>
  <cp:lastPrinted>2022-09-07T09:30:00Z</cp:lastPrinted>
  <dcterms:modified xsi:type="dcterms:W3CDTF">2022-12-16T09:23:56Z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B3E4B2724B51434FA90A0DBBE1CB9D82</vt:lpwstr>
  </property>
</Properties>
</file>