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F38D1">
      <w:pPr>
        <w:pStyle w:val="17"/>
        <w:keepNext w:val="0"/>
        <w:keepLines w:val="0"/>
        <w:pageBreakBefore w:val="0"/>
        <w:widowControl w:val="0"/>
        <w:numPr>
          <w:ilvl w:val="1"/>
          <w:numId w:val="0"/>
        </w:numPr>
        <w:tabs>
          <w:tab w:val="clear" w:pos="312"/>
        </w:tabs>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color w:val="auto"/>
          <w:kern w:val="2"/>
          <w:sz w:val="36"/>
          <w:szCs w:val="36"/>
          <w:lang w:val="en-US" w:eastAsia="zh-CN" w:bidi="ar-SA"/>
        </w:rPr>
      </w:pPr>
      <w:r>
        <w:rPr>
          <w:rFonts w:hint="default" w:ascii="Times New Roman" w:hAnsi="Times New Roman" w:eastAsia="方正小标宋简体" w:cs="Times New Roman"/>
          <w:color w:val="auto"/>
          <w:kern w:val="2"/>
          <w:sz w:val="36"/>
          <w:szCs w:val="36"/>
          <w:lang w:val="en-US" w:eastAsia="zh-CN" w:bidi="ar-SA"/>
        </w:rPr>
        <w:t>《</w:t>
      </w:r>
      <w:r>
        <w:rPr>
          <w:rFonts w:hint="eastAsia" w:ascii="Times New Roman" w:hAnsi="Times New Roman" w:eastAsia="方正小标宋简体" w:cs="Times New Roman"/>
          <w:color w:val="auto"/>
          <w:kern w:val="2"/>
          <w:sz w:val="36"/>
          <w:szCs w:val="36"/>
          <w:lang w:val="en-US" w:eastAsia="zh-CN" w:bidi="ar-SA"/>
        </w:rPr>
        <w:t>西湖管理区中心城区详规A单元国土空间详细规划</w:t>
      </w:r>
      <w:r>
        <w:rPr>
          <w:rFonts w:hint="default" w:ascii="Times New Roman" w:hAnsi="Times New Roman" w:eastAsia="方正小标宋简体" w:cs="Times New Roman"/>
          <w:color w:val="auto"/>
          <w:kern w:val="2"/>
          <w:sz w:val="36"/>
          <w:szCs w:val="36"/>
          <w:lang w:val="en-US" w:eastAsia="zh-CN" w:bidi="ar-SA"/>
        </w:rPr>
        <w:t>》</w:t>
      </w:r>
    </w:p>
    <w:p w14:paraId="1F6788D8">
      <w:pPr>
        <w:pStyle w:val="17"/>
        <w:keepNext w:val="0"/>
        <w:keepLines w:val="0"/>
        <w:pageBreakBefore w:val="0"/>
        <w:widowControl w:val="0"/>
        <w:numPr>
          <w:ilvl w:val="1"/>
          <w:numId w:val="0"/>
        </w:numPr>
        <w:tabs>
          <w:tab w:val="clear" w:pos="312"/>
        </w:tabs>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简体" w:cs="Times New Roman"/>
          <w:color w:val="auto"/>
          <w:kern w:val="2"/>
          <w:sz w:val="36"/>
          <w:szCs w:val="36"/>
          <w:lang w:val="en-US" w:eastAsia="zh-CN" w:bidi="ar-SA"/>
        </w:rPr>
      </w:pPr>
      <w:r>
        <w:rPr>
          <w:rFonts w:hint="eastAsia" w:ascii="Times New Roman" w:hAnsi="Times New Roman" w:eastAsia="方正小标宋简体" w:cs="Times New Roman"/>
          <w:color w:val="auto"/>
          <w:kern w:val="2"/>
          <w:sz w:val="36"/>
          <w:szCs w:val="36"/>
          <w:lang w:val="en-US" w:eastAsia="zh-CN" w:bidi="ar-SA"/>
        </w:rPr>
        <w:t>简要说明</w:t>
      </w:r>
    </w:p>
    <w:p w14:paraId="5F617DDD">
      <w:pPr>
        <w:pStyle w:val="2"/>
        <w:rPr>
          <w:rFonts w:hint="eastAsia"/>
          <w:lang w:val="en-US" w:eastAsia="zh-CN"/>
        </w:rPr>
      </w:pPr>
    </w:p>
    <w:p w14:paraId="2E392E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eastAsia="黑体"/>
          <w:color w:val="000000"/>
          <w:kern w:val="0"/>
          <w:sz w:val="32"/>
          <w:szCs w:val="32"/>
          <w:highlight w:val="none"/>
        </w:rPr>
      </w:pPr>
      <w:r>
        <w:rPr>
          <w:rFonts w:hint="eastAsia" w:eastAsia="黑体" w:asciiTheme="minorHAnsi" w:hAnsiTheme="minorHAnsi" w:cstheme="minorBidi"/>
          <w:color w:val="000000"/>
          <w:kern w:val="0"/>
          <w:sz w:val="32"/>
          <w:szCs w:val="32"/>
          <w:lang w:val="en-US" w:eastAsia="zh-CN" w:bidi="ar-SA"/>
        </w:rPr>
        <w:t>一、</w:t>
      </w:r>
      <w:r>
        <w:rPr>
          <w:rFonts w:hint="eastAsia" w:eastAsia="黑体"/>
          <w:color w:val="000000"/>
          <w:kern w:val="0"/>
          <w:sz w:val="32"/>
          <w:szCs w:val="32"/>
          <w:highlight w:val="none"/>
        </w:rPr>
        <w:t>编制依据</w:t>
      </w:r>
    </w:p>
    <w:p w14:paraId="5F537B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本次规划主要依据《中华人民共和国城乡规划法》</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《中华人民共和国土地管理法》</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《自然资源部关于加强国土空间详细规划工作的通知》（自然资发〔2023〕43号）</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《湖南省城镇开发边界内详细规划编制技术指南》</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DB43/T3069-2024</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eastAsia="zh-CN"/>
        </w:rPr>
        <w:t>西湖管理区</w:t>
      </w:r>
      <w:r>
        <w:rPr>
          <w:rFonts w:hint="eastAsia" w:ascii="仿宋" w:hAnsi="仿宋" w:eastAsia="仿宋" w:cs="仿宋"/>
          <w:color w:val="000000"/>
          <w:sz w:val="32"/>
          <w:szCs w:val="32"/>
          <w:highlight w:val="none"/>
        </w:rPr>
        <w:t>国土空间总体规划（2021-2035年）》</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《常德市规划管理技术规定》（常政发[2018]6号）</w:t>
      </w:r>
      <w:r>
        <w:rPr>
          <w:rFonts w:hint="eastAsia" w:ascii="仿宋" w:hAnsi="仿宋" w:eastAsia="仿宋" w:cs="仿宋"/>
          <w:color w:val="000000"/>
          <w:sz w:val="32"/>
          <w:szCs w:val="32"/>
          <w:highlight w:val="none"/>
          <w:lang w:eastAsia="zh-CN"/>
        </w:rPr>
        <w:t>等</w:t>
      </w:r>
      <w:r>
        <w:rPr>
          <w:rFonts w:hint="eastAsia" w:ascii="仿宋" w:hAnsi="仿宋" w:eastAsia="仿宋" w:cs="仿宋"/>
          <w:color w:val="000000"/>
          <w:sz w:val="32"/>
          <w:szCs w:val="32"/>
          <w:highlight w:val="none"/>
        </w:rPr>
        <w:t>相关法律法规及行业规范标准编制而成。</w:t>
      </w:r>
    </w:p>
    <w:p w14:paraId="528A2D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黑体"/>
          <w:color w:val="000000"/>
          <w:kern w:val="0"/>
          <w:sz w:val="32"/>
          <w:szCs w:val="32"/>
          <w:highlight w:val="none"/>
        </w:rPr>
      </w:pPr>
      <w:r>
        <w:rPr>
          <w:rFonts w:hint="eastAsia" w:eastAsia="黑体" w:asciiTheme="minorHAnsi" w:hAnsiTheme="minorHAnsi" w:cstheme="minorBidi"/>
          <w:color w:val="000000"/>
          <w:kern w:val="0"/>
          <w:sz w:val="32"/>
          <w:szCs w:val="32"/>
          <w:lang w:val="en-US" w:eastAsia="zh-CN" w:bidi="ar-SA"/>
        </w:rPr>
        <w:t>二、</w:t>
      </w:r>
      <w:r>
        <w:rPr>
          <w:rFonts w:hint="eastAsia" w:eastAsia="黑体"/>
          <w:color w:val="000000"/>
          <w:kern w:val="0"/>
          <w:sz w:val="32"/>
          <w:szCs w:val="32"/>
          <w:highlight w:val="none"/>
        </w:rPr>
        <w:t>编制基本情况</w:t>
      </w:r>
    </w:p>
    <w:p w14:paraId="2BF242C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kern w:val="0"/>
          <w:sz w:val="32"/>
          <w:szCs w:val="32"/>
          <w:highlight w:val="none"/>
          <w:lang w:eastAsia="zh-CN"/>
        </w:rPr>
      </w:pPr>
      <w:r>
        <w:rPr>
          <w:rFonts w:hint="eastAsia" w:ascii="仿宋" w:hAnsi="仿宋" w:eastAsia="仿宋" w:cs="仿宋"/>
          <w:b/>
          <w:bCs/>
          <w:color w:val="000000"/>
          <w:kern w:val="0"/>
          <w:sz w:val="32"/>
          <w:szCs w:val="32"/>
          <w:highlight w:val="none"/>
        </w:rPr>
        <w:t>1.规划范围</w:t>
      </w:r>
      <w:r>
        <w:rPr>
          <w:rFonts w:hint="eastAsia" w:ascii="仿宋" w:hAnsi="仿宋" w:eastAsia="仿宋" w:cs="仿宋"/>
          <w:b/>
          <w:bCs/>
          <w:color w:val="000000"/>
          <w:kern w:val="0"/>
          <w:sz w:val="32"/>
          <w:szCs w:val="32"/>
          <w:highlight w:val="none"/>
          <w:lang w:eastAsia="zh-CN"/>
        </w:rPr>
        <w:t>及层次</w:t>
      </w:r>
    </w:p>
    <w:p w14:paraId="553520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规划范围为西湖管理区中心城区A详细规划单元，北至朝阳路，南至东东湖-西东湖，西至新北河，东至劳动路。规划总用地面积165.71公顷，其中城镇开发边界内用地面积101.94公顷。</w:t>
      </w:r>
    </w:p>
    <w:p w14:paraId="1C47EE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规划分为单元和街区两个层次。其中，单元层次侧重统筹性，重点管控底线要素；街区层次侧重实施性，重点管控地块相关指标，支撑具体项目的落地。</w:t>
      </w:r>
    </w:p>
    <w:p w14:paraId="3B16383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kern w:val="0"/>
          <w:sz w:val="32"/>
          <w:szCs w:val="32"/>
          <w:highlight w:val="none"/>
        </w:rPr>
      </w:pPr>
      <w:r>
        <w:rPr>
          <w:rFonts w:hint="eastAsia" w:ascii="仿宋" w:hAnsi="仿宋" w:eastAsia="仿宋" w:cs="仿宋"/>
          <w:b/>
          <w:bCs/>
          <w:color w:val="000000"/>
          <w:kern w:val="0"/>
          <w:sz w:val="32"/>
          <w:szCs w:val="32"/>
          <w:highlight w:val="none"/>
        </w:rPr>
        <w:t>2.规划目标</w:t>
      </w:r>
    </w:p>
    <w:p w14:paraId="1C3260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规划将详规A单元打造为高效、生态、便捷、活力的综合性服务区，即土地利用集约高效，空间环境绿色生态，服务设施完善便捷，城市文化焕发活力。</w:t>
      </w:r>
    </w:p>
    <w:p w14:paraId="072255D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kern w:val="0"/>
          <w:sz w:val="32"/>
          <w:szCs w:val="32"/>
          <w:highlight w:val="none"/>
        </w:rPr>
      </w:pPr>
      <w:r>
        <w:rPr>
          <w:rFonts w:hint="eastAsia" w:ascii="仿宋" w:hAnsi="仿宋" w:eastAsia="仿宋" w:cs="仿宋"/>
          <w:b/>
          <w:bCs/>
          <w:color w:val="000000"/>
          <w:kern w:val="0"/>
          <w:sz w:val="32"/>
          <w:szCs w:val="32"/>
          <w:highlight w:val="none"/>
          <w:lang w:val="en-US" w:eastAsia="zh-CN"/>
        </w:rPr>
        <w:t>3</w:t>
      </w:r>
      <w:r>
        <w:rPr>
          <w:rFonts w:hint="eastAsia" w:ascii="仿宋" w:hAnsi="仿宋" w:eastAsia="仿宋" w:cs="仿宋"/>
          <w:b/>
          <w:bCs/>
          <w:color w:val="000000"/>
          <w:kern w:val="0"/>
          <w:sz w:val="32"/>
          <w:szCs w:val="32"/>
          <w:highlight w:val="none"/>
        </w:rPr>
        <w:t>.规模管控</w:t>
      </w:r>
    </w:p>
    <w:p w14:paraId="33DDD4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用地规模。规划城镇建设用地面积不超过101.94公顷，其中规划公益性用地规模不低于49公顷，规划经营性建设用地面积控制不高于52公顷。</w:t>
      </w:r>
    </w:p>
    <w:p w14:paraId="5674BA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建筑规模。建筑总面积（地上）85万平方米，控制下限；住宅建筑总面积（地上）82万平方米，控制上限。</w:t>
      </w:r>
    </w:p>
    <w:p w14:paraId="7EF2B0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人口规模。规划预测就业人口0.33万人，常住人口1.2万人。</w:t>
      </w:r>
    </w:p>
    <w:p w14:paraId="3711F44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kern w:val="0"/>
          <w:sz w:val="32"/>
          <w:szCs w:val="32"/>
          <w:highlight w:val="none"/>
        </w:rPr>
      </w:pPr>
      <w:r>
        <w:rPr>
          <w:rFonts w:hint="eastAsia" w:ascii="仿宋" w:hAnsi="仿宋" w:eastAsia="仿宋" w:cs="仿宋"/>
          <w:b/>
          <w:bCs/>
          <w:color w:val="000000"/>
          <w:kern w:val="0"/>
          <w:sz w:val="32"/>
          <w:szCs w:val="32"/>
          <w:highlight w:val="none"/>
          <w:lang w:val="en-US" w:eastAsia="zh-CN"/>
        </w:rPr>
        <w:t>4</w:t>
      </w:r>
      <w:r>
        <w:rPr>
          <w:rFonts w:hint="eastAsia" w:ascii="仿宋" w:hAnsi="仿宋" w:eastAsia="仿宋" w:cs="仿宋"/>
          <w:b/>
          <w:bCs/>
          <w:color w:val="000000"/>
          <w:kern w:val="0"/>
          <w:sz w:val="32"/>
          <w:szCs w:val="32"/>
          <w:highlight w:val="none"/>
        </w:rPr>
        <w:t>.功能定位</w:t>
      </w:r>
    </w:p>
    <w:p w14:paraId="3F6293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依据《西湖管理区国土空间总体规划（2021-2035年）》详规A单元主导功能为综合服务类。本次规划A单元功能定位为西湖管理区城镇综合服务中心。</w:t>
      </w:r>
    </w:p>
    <w:p w14:paraId="19484D7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黑体"/>
          <w:color w:val="000000"/>
          <w:kern w:val="0"/>
          <w:sz w:val="32"/>
          <w:szCs w:val="32"/>
          <w:highlight w:val="none"/>
        </w:rPr>
      </w:pPr>
      <w:r>
        <w:rPr>
          <w:rFonts w:hint="eastAsia" w:eastAsia="黑体" w:asciiTheme="minorHAnsi" w:hAnsiTheme="minorHAnsi" w:cstheme="minorBidi"/>
          <w:color w:val="000000"/>
          <w:kern w:val="0"/>
          <w:sz w:val="32"/>
          <w:szCs w:val="32"/>
          <w:lang w:val="en-US" w:eastAsia="zh-CN" w:bidi="ar-SA"/>
        </w:rPr>
        <w:t>三、</w:t>
      </w:r>
      <w:r>
        <w:rPr>
          <w:rFonts w:hint="eastAsia" w:eastAsia="黑体"/>
          <w:color w:val="000000"/>
          <w:kern w:val="0"/>
          <w:sz w:val="32"/>
          <w:szCs w:val="32"/>
          <w:highlight w:val="none"/>
        </w:rPr>
        <w:t>主要内容</w:t>
      </w:r>
    </w:p>
    <w:p w14:paraId="1B1D7BB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kern w:val="0"/>
          <w:sz w:val="32"/>
          <w:szCs w:val="32"/>
          <w:highlight w:val="none"/>
        </w:rPr>
      </w:pPr>
      <w:r>
        <w:rPr>
          <w:rFonts w:hint="eastAsia" w:ascii="仿宋" w:hAnsi="仿宋" w:eastAsia="仿宋" w:cs="仿宋"/>
          <w:b/>
          <w:bCs/>
          <w:color w:val="000000"/>
          <w:kern w:val="0"/>
          <w:sz w:val="32"/>
          <w:szCs w:val="32"/>
          <w:highlight w:val="none"/>
        </w:rPr>
        <w:t>1.</w:t>
      </w:r>
      <w:r>
        <w:rPr>
          <w:rFonts w:hint="eastAsia" w:ascii="仿宋" w:hAnsi="仿宋" w:eastAsia="仿宋" w:cs="仿宋"/>
          <w:b/>
          <w:bCs/>
          <w:color w:val="000000"/>
          <w:kern w:val="0"/>
          <w:sz w:val="32"/>
          <w:szCs w:val="32"/>
          <w:highlight w:val="none"/>
          <w:lang w:val="en-US" w:eastAsia="zh-CN"/>
        </w:rPr>
        <w:t>空间</w:t>
      </w:r>
      <w:r>
        <w:rPr>
          <w:rFonts w:hint="eastAsia" w:ascii="仿宋" w:hAnsi="仿宋" w:eastAsia="仿宋" w:cs="仿宋"/>
          <w:b/>
          <w:bCs/>
          <w:color w:val="000000"/>
          <w:kern w:val="0"/>
          <w:sz w:val="32"/>
          <w:szCs w:val="32"/>
          <w:highlight w:val="none"/>
        </w:rPr>
        <w:t>结构</w:t>
      </w:r>
    </w:p>
    <w:p w14:paraId="2B3EC7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规划构建“一心两轴两廊三区多节点”有机相生、蓝绿交织的空间结构。</w:t>
      </w:r>
    </w:p>
    <w:p w14:paraId="1C5421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一心：规划以西湖管理区管理委员会为发展核心。</w:t>
      </w:r>
    </w:p>
    <w:p w14:paraId="642E65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两轴：规划依托教育路和东湖路分别形成生活服务轴和商业休闲轴。</w:t>
      </w:r>
    </w:p>
    <w:p w14:paraId="42A18B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两廊：规划依托新北河以及景观绿带形成新北河-西东湖-东东湖城镇景观廊道，依托现有林地、公路以及规划绿带构成城镇北部生态廊道，通过水系与绿带交织交融共同构筑规划区轴向渗透的景观框架。</w:t>
      </w:r>
    </w:p>
    <w:p w14:paraId="3A0040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三区：规划形成以居住为主的西部生活区，以综合服务为主的东部服务区，以亲水休闲为主的南部生态休闲区。</w:t>
      </w:r>
    </w:p>
    <w:p w14:paraId="504CF2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多节点：规划以西湖公园、广场、全民健身中心、西湖体育公园、工人文化宫等作为节点，为片区提供丰富多彩的公共活动空间，提升城市生活空间品质与活力。</w:t>
      </w:r>
    </w:p>
    <w:p w14:paraId="1B37304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kern w:val="0"/>
          <w:sz w:val="32"/>
          <w:szCs w:val="32"/>
          <w:highlight w:val="none"/>
        </w:rPr>
      </w:pPr>
      <w:r>
        <w:rPr>
          <w:rFonts w:hint="eastAsia" w:ascii="仿宋" w:hAnsi="仿宋" w:eastAsia="仿宋" w:cs="仿宋"/>
          <w:b/>
          <w:bCs/>
          <w:color w:val="000000"/>
          <w:kern w:val="0"/>
          <w:sz w:val="32"/>
          <w:szCs w:val="32"/>
          <w:highlight w:val="none"/>
          <w:lang w:val="en-US" w:eastAsia="zh-CN"/>
        </w:rPr>
        <w:t>2.</w:t>
      </w:r>
      <w:r>
        <w:rPr>
          <w:rFonts w:hint="eastAsia" w:ascii="仿宋" w:hAnsi="仿宋" w:eastAsia="仿宋" w:cs="仿宋"/>
          <w:b/>
          <w:bCs/>
          <w:color w:val="000000"/>
          <w:kern w:val="0"/>
          <w:sz w:val="32"/>
          <w:szCs w:val="32"/>
          <w:highlight w:val="none"/>
        </w:rPr>
        <w:t>用地布局</w:t>
      </w:r>
    </w:p>
    <w:p w14:paraId="11972475">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详细规划整体的用地布局基本符合国土空间总体规划。</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1</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城镇开发边界外用地布局</w:t>
      </w:r>
    </w:p>
    <w:p w14:paraId="21A4DF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城镇开发边界外用地规模为63.77公顷。</w:t>
      </w:r>
    </w:p>
    <w:p w14:paraId="1CA8B4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农用地60.51公顷，占比94.88%；建设用地3.26公顷，占比5.12%，其中，居住用地0.07公顷，交通运输用地0.75公顷，工矿用地0.02公顷，绿地与开敞空间用地0.06公顷，水工设施用地2.36公顷。</w:t>
      </w:r>
    </w:p>
    <w:p w14:paraId="697BA5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城镇开发边界内用地布局</w:t>
      </w:r>
    </w:p>
    <w:p w14:paraId="183BAB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城镇开发边界内用地规模为101.94公顷。</w:t>
      </w:r>
    </w:p>
    <w:p w14:paraId="677962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居住用地面积40.20公顷，占比39.43%，包括城镇住宅用地和城镇社区服务设施用地。</w:t>
      </w:r>
    </w:p>
    <w:p w14:paraId="00F0CC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公共管理与公共服务用地面积20.94公顷，占比20.55%，主要包括机关团体用地、文化用地、教育用地、体育用地、医疗卫生用地、社会福利用地。</w:t>
      </w:r>
    </w:p>
    <w:p w14:paraId="26B49F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商业服务业用地面积7.79公顷，占比7.64%，主要包括商业用地、商务金融用地、其他商业服务业用地。</w:t>
      </w:r>
    </w:p>
    <w:p w14:paraId="5327F8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工业用地面积3.15公顷，占比3.09%，主要为二类工业用地。</w:t>
      </w:r>
    </w:p>
    <w:p w14:paraId="02E8A2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仓储用地面积0.33公顷，占比0.32%，主要为二类物流仓储用地。</w:t>
      </w:r>
    </w:p>
    <w:p w14:paraId="53A846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交通运输用地面积16.27公顷，占比15.96%，主要包括城镇村道路用地和交通场站用地。</w:t>
      </w:r>
    </w:p>
    <w:p w14:paraId="025AD4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公用设施用地面积0.68公顷，占比0.67%，主要包括通信用地、邮政用地和环卫用地。</w:t>
      </w:r>
    </w:p>
    <w:p w14:paraId="5DDF31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绿地与开敞空间用地面积11.37公顷，占比11.15%。包括公园绿地、防护绿地和广场绿地。</w:t>
      </w:r>
    </w:p>
    <w:p w14:paraId="341D46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特殊用地0.13公顷，占比0.13%，主要为文物古迹用地。</w:t>
      </w:r>
    </w:p>
    <w:p w14:paraId="33873B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城镇弹性发展区面积1.08公顷，占比1.06%。</w:t>
      </w:r>
    </w:p>
    <w:p w14:paraId="07F4600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3.公服设施</w:t>
      </w:r>
    </w:p>
    <w:p w14:paraId="4CAD2A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至2035年，卫生、养老、教育、文化、体育等社区公共服务设施15分钟可达覆盖率达到95%左右。 </w:t>
      </w:r>
    </w:p>
    <w:p w14:paraId="3D7E60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区级公共服务中心位于中心城区内，服务于整个西湖管理区，为管理区内的居民提供高品质公共服务。城镇社区生活圈主要分为10—15分钟生活圈、5分钟生活圈，服务于中心城区内居民。</w:t>
      </w:r>
    </w:p>
    <w:p w14:paraId="09C5C36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4.道路交通</w:t>
      </w:r>
    </w:p>
    <w:p w14:paraId="7384EC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规划路网整体形成“两横、四纵”的骨架结构，形成主干路、次干路、支路三级道路网体系。“两横”指教育路和朝阳路；“四纵”指西常路、滨河路、东湖路、劳动路。</w:t>
      </w:r>
    </w:p>
    <w:p w14:paraId="66C0D54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5.历史文化保护</w:t>
      </w:r>
    </w:p>
    <w:p w14:paraId="3A2EE7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仿宋" w:hAnsi="仿宋" w:eastAsia="仿宋" w:cs="仿宋"/>
          <w:color w:val="000000"/>
          <w:sz w:val="32"/>
          <w:szCs w:val="32"/>
          <w:highlight w:val="none"/>
        </w:rPr>
        <w:t>规划区现有历史文化遗产四处：广州军区西湖生产基地军垦旧址群（规划区军垦旧址分布于4个位置）均为省级文物保护单位。规划依托政治部(生产办)旧址建设军垦博物馆1处，依托军人服务社旧址建设移民及军人服务社史实陈列馆1处。</w:t>
      </w:r>
      <w:bookmarkStart w:id="0" w:name="_GoBack"/>
      <w:bookmarkEnd w:id="0"/>
    </w:p>
    <w:p w14:paraId="58F44EA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6.地块开发控制引导</w:t>
      </w:r>
    </w:p>
    <w:p w14:paraId="49D2F6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规划范围内所有建设用地控制指标原则上均应执行本规划规定。</w:t>
      </w:r>
    </w:p>
    <w:p w14:paraId="4EDCB2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居住用地、商业服务业用地、公共管理与公共服务用地、物流仓储用地控制指标优先执行《城市居住区规划设计标准》GB50180-2018、《社区生活圈规划技术指南》TD/T1062-2021、《常德市规划管理技术规定》（常政发[2018]6号）、《中小学校设计规范》GB50099-2011、《湖南省建设用地指标》（2021年）等相关技术规范标准，并满足国家相关规划标准有关规定；工业用地控制指标严格执行《工业项目建设用地控制指标》；交通运输用地、公用设施用地、特殊用地应根据立项批准文件或行业主管部门标准以及实际需要在设计方案审查中依法依规予以明确，并由自然资源行政主管部门依法通过。</w:t>
      </w:r>
      <w:r>
        <w:rPr>
          <w:rFonts w:hint="eastAsia" w:ascii="仿宋" w:hAnsi="仿宋" w:eastAsia="仿宋" w:cs="仿宋"/>
          <w:color w:val="000000"/>
          <w:sz w:val="32"/>
          <w:szCs w:val="32"/>
          <w:highlight w:val="none"/>
          <w:lang w:eastAsia="zh-CN"/>
        </w:rPr>
        <w:t>规划区内新建地块容积率不应超过</w:t>
      </w:r>
      <w:r>
        <w:rPr>
          <w:rFonts w:hint="eastAsia" w:ascii="仿宋" w:hAnsi="仿宋" w:eastAsia="仿宋" w:cs="仿宋"/>
          <w:color w:val="000000"/>
          <w:sz w:val="32"/>
          <w:szCs w:val="32"/>
          <w:highlight w:val="none"/>
          <w:lang w:val="en-US" w:eastAsia="zh-CN"/>
        </w:rPr>
        <w:t>3.0，建筑高度不应超过54米。</w:t>
      </w:r>
    </w:p>
    <w:p w14:paraId="54B531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本规划执行的规划建设标准或制定的用地控制指标条件，在规划审批后有新增、变更或废止的，均执行最新要求。</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2B67C2-D65B-4B54-B272-FE6015D7BC8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D4038A0-AAFA-4F22-A34E-CA39007E363E}"/>
  </w:font>
  <w:font w:name="方正小标宋简体">
    <w:panose1 w:val="03000509000000000000"/>
    <w:charset w:val="86"/>
    <w:family w:val="auto"/>
    <w:pitch w:val="default"/>
    <w:sig w:usb0="00000001" w:usb1="080E0000" w:usb2="00000000" w:usb3="00000000" w:csb0="00040000" w:csb1="00000000"/>
    <w:embedRegular r:id="rId3" w:fontKey="{ED3A4520-7656-41F8-97DF-8CEBCEC6BAD7}"/>
  </w:font>
  <w:font w:name="仿宋">
    <w:panose1 w:val="02010609060101010101"/>
    <w:charset w:val="86"/>
    <w:family w:val="modern"/>
    <w:pitch w:val="default"/>
    <w:sig w:usb0="800002BF" w:usb1="38CF7CFA" w:usb2="00000016" w:usb3="00000000" w:csb0="00040001" w:csb1="00000000"/>
    <w:embedRegular r:id="rId4" w:fontKey="{9F0EED84-088A-422F-9802-81C4EABCE4B2}"/>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6FCB3">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E1431">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AE1431">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FE40F"/>
    <w:multiLevelType w:val="multilevel"/>
    <w:tmpl w:val="992FE40F"/>
    <w:lvl w:ilvl="0" w:tentative="0">
      <w:start w:val="1"/>
      <w:numFmt w:val="decimal"/>
      <w:pStyle w:val="4"/>
      <w:lvlText w:val="第%1章 "/>
      <w:lvlJc w:val="left"/>
      <w:pPr>
        <w:tabs>
          <w:tab w:val="left" w:pos="3119"/>
        </w:tabs>
        <w:ind w:left="3119" w:firstLine="0"/>
      </w:pPr>
      <w:rPr>
        <w:rFonts w:hint="eastAsia" w:ascii="黑体" w:hAnsi="黑体" w:eastAsia="黑体"/>
      </w:rPr>
    </w:lvl>
    <w:lvl w:ilvl="1" w:tentative="0">
      <w:start w:val="1"/>
      <w:numFmt w:val="decimal"/>
      <w:lvlRestart w:val="0"/>
      <w:pStyle w:val="5"/>
      <w:lvlText w:val="第%2条 "/>
      <w:lvlJc w:val="left"/>
      <w:pPr>
        <w:tabs>
          <w:tab w:val="left" w:pos="142"/>
        </w:tabs>
        <w:ind w:left="142" w:firstLine="0"/>
      </w:pPr>
      <w:rPr>
        <w:rFonts w:hint="eastAsia" w:ascii="黑体" w:hAnsi="黑体" w:eastAsia="黑体" w:cs="黑体"/>
      </w:rPr>
    </w:lvl>
    <w:lvl w:ilvl="2" w:tentative="0">
      <w:start w:val="1"/>
      <w:numFmt w:val="decimal"/>
      <w:pStyle w:val="6"/>
      <w:lvlText w:val="%3. "/>
      <w:lvlJc w:val="left"/>
      <w:pPr>
        <w:tabs>
          <w:tab w:val="left" w:pos="-2836"/>
        </w:tabs>
        <w:ind w:left="-2836" w:firstLine="0"/>
      </w:pPr>
      <w:rPr>
        <w:rFonts w:hint="eastAsia" w:ascii="宋体" w:hAnsi="宋体" w:eastAsia="宋体" w:cs="宋体"/>
      </w:rPr>
    </w:lvl>
    <w:lvl w:ilvl="3" w:tentative="0">
      <w:start w:val="1"/>
      <w:numFmt w:val="decimal"/>
      <w:pStyle w:val="7"/>
      <w:lvlText w:val="%3.%4 "/>
      <w:lvlJc w:val="left"/>
      <w:pPr>
        <w:tabs>
          <w:tab w:val="left" w:pos="-2836"/>
        </w:tabs>
        <w:ind w:left="-2836" w:firstLine="0"/>
      </w:pPr>
      <w:rPr>
        <w:rFonts w:hint="eastAsia" w:ascii="宋体" w:hAnsi="宋体" w:eastAsia="宋体" w:cs="宋体"/>
      </w:rPr>
    </w:lvl>
    <w:lvl w:ilvl="4" w:tentative="0">
      <w:start w:val="1"/>
      <w:numFmt w:val="decimal"/>
      <w:pStyle w:val="8"/>
      <w:lvlText w:val="%3.%4.%5 "/>
      <w:lvlJc w:val="left"/>
      <w:pPr>
        <w:tabs>
          <w:tab w:val="left" w:pos="-2836"/>
        </w:tabs>
        <w:ind w:left="-2836" w:firstLine="0"/>
      </w:pPr>
      <w:rPr>
        <w:rFonts w:hint="eastAsia" w:ascii="宋体" w:hAnsi="宋体" w:eastAsia="宋体" w:cs="宋体"/>
      </w:rPr>
    </w:lvl>
    <w:lvl w:ilvl="5" w:tentative="0">
      <w:start w:val="1"/>
      <w:numFmt w:val="decimal"/>
      <w:lvlText w:val="%1.%2.%3.%4.%5.%6."/>
      <w:lvlJc w:val="left"/>
      <w:pPr>
        <w:ind w:left="-1702" w:hanging="1134"/>
      </w:pPr>
      <w:rPr>
        <w:rFonts w:hint="eastAsia"/>
      </w:rPr>
    </w:lvl>
    <w:lvl w:ilvl="6" w:tentative="0">
      <w:start w:val="1"/>
      <w:numFmt w:val="decimal"/>
      <w:lvlText w:val="%1.%2.%3.%4.%5.%6.%7."/>
      <w:lvlJc w:val="left"/>
      <w:pPr>
        <w:ind w:left="-1561" w:hanging="1275"/>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278" w:hanging="155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3NDE0OTk2NDA5ZDU4Y2MwZjk1YjRkZWUyNjM0NDMifQ=="/>
  </w:docVars>
  <w:rsids>
    <w:rsidRoot w:val="00601E1C"/>
    <w:rsid w:val="002834E4"/>
    <w:rsid w:val="00601E1C"/>
    <w:rsid w:val="00BA44A9"/>
    <w:rsid w:val="00F0692E"/>
    <w:rsid w:val="05DA204E"/>
    <w:rsid w:val="07BC2DB9"/>
    <w:rsid w:val="0D3C23D8"/>
    <w:rsid w:val="110A1ED6"/>
    <w:rsid w:val="1D6416CF"/>
    <w:rsid w:val="2383244E"/>
    <w:rsid w:val="33DD6F49"/>
    <w:rsid w:val="35295019"/>
    <w:rsid w:val="39EE2148"/>
    <w:rsid w:val="4071640F"/>
    <w:rsid w:val="418736CE"/>
    <w:rsid w:val="43B61E3D"/>
    <w:rsid w:val="4436451B"/>
    <w:rsid w:val="487E08F5"/>
    <w:rsid w:val="49935F6C"/>
    <w:rsid w:val="4B894E4A"/>
    <w:rsid w:val="4D154C85"/>
    <w:rsid w:val="4D2912CC"/>
    <w:rsid w:val="4ECC7F56"/>
    <w:rsid w:val="4F231B40"/>
    <w:rsid w:val="503E6C32"/>
    <w:rsid w:val="55633D35"/>
    <w:rsid w:val="69106E41"/>
    <w:rsid w:val="6A73601A"/>
    <w:rsid w:val="6FC44FF0"/>
    <w:rsid w:val="73FC5BE6"/>
    <w:rsid w:val="775841CD"/>
    <w:rsid w:val="78E21FA1"/>
    <w:rsid w:val="79002D6F"/>
    <w:rsid w:val="7AEA6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5">
    <w:name w:val="heading 2"/>
    <w:basedOn w:val="1"/>
    <w:next w:val="1"/>
    <w:link w:val="14"/>
    <w:semiHidden/>
    <w:unhideWhenUsed/>
    <w:qFormat/>
    <w:uiPriority w:val="0"/>
    <w:pPr>
      <w:keepNext/>
      <w:keepLines/>
      <w:numPr>
        <w:ilvl w:val="1"/>
        <w:numId w:val="1"/>
      </w:numPr>
      <w:tabs>
        <w:tab w:val="clear" w:pos="142"/>
      </w:tabs>
      <w:outlineLvl w:val="1"/>
    </w:pPr>
    <w:rPr>
      <w:rFonts w:ascii="黑体" w:hAnsi="黑体" w:eastAsia="黑体"/>
      <w:b/>
      <w:sz w:val="32"/>
      <w:szCs w:val="30"/>
    </w:rPr>
  </w:style>
  <w:style w:type="paragraph" w:styleId="6">
    <w:name w:val="heading 3"/>
    <w:basedOn w:val="1"/>
    <w:next w:val="1"/>
    <w:semiHidden/>
    <w:unhideWhenUsed/>
    <w:qFormat/>
    <w:uiPriority w:val="0"/>
    <w:pPr>
      <w:keepNext/>
      <w:keepLines/>
      <w:numPr>
        <w:ilvl w:val="2"/>
        <w:numId w:val="1"/>
      </w:numPr>
      <w:spacing w:before="260" w:after="260" w:line="413" w:lineRule="auto"/>
      <w:outlineLvl w:val="2"/>
    </w:pPr>
    <w:rPr>
      <w:b/>
      <w:sz w:val="32"/>
    </w:rPr>
  </w:style>
  <w:style w:type="paragraph" w:styleId="7">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8">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99"/>
    <w:pPr>
      <w:spacing w:after="120"/>
      <w:ind w:left="420" w:leftChars="200"/>
    </w:pPr>
  </w:style>
  <w:style w:type="paragraph" w:styleId="9">
    <w:name w:val="Balloon Text"/>
    <w:basedOn w:val="1"/>
    <w:semiHidden/>
    <w:unhideWhenUsed/>
    <w:qFormat/>
    <w:uiPriority w:val="99"/>
    <w:rPr>
      <w:sz w:val="18"/>
      <w:szCs w:val="18"/>
    </w:rPr>
  </w:style>
  <w:style w:type="paragraph" w:styleId="10">
    <w:name w:val="footer"/>
    <w:basedOn w:val="1"/>
    <w:link w:val="16"/>
    <w:qFormat/>
    <w:uiPriority w:val="0"/>
    <w:pPr>
      <w:tabs>
        <w:tab w:val="center" w:pos="4153"/>
        <w:tab w:val="right" w:pos="8306"/>
      </w:tabs>
      <w:snapToGrid w:val="0"/>
      <w:jc w:val="left"/>
    </w:pPr>
    <w:rPr>
      <w:sz w:val="18"/>
      <w:szCs w:val="18"/>
    </w:rPr>
  </w:style>
  <w:style w:type="paragraph" w:styleId="11">
    <w:name w:val="header"/>
    <w:basedOn w:val="1"/>
    <w:link w:val="15"/>
    <w:qFormat/>
    <w:uiPriority w:val="0"/>
    <w:pPr>
      <w:tabs>
        <w:tab w:val="center" w:pos="4153"/>
        <w:tab w:val="right" w:pos="8306"/>
      </w:tabs>
      <w:snapToGrid w:val="0"/>
      <w:jc w:val="center"/>
    </w:pPr>
    <w:rPr>
      <w:sz w:val="18"/>
      <w:szCs w:val="18"/>
    </w:rPr>
  </w:style>
  <w:style w:type="character" w:customStyle="1" w:styleId="14">
    <w:name w:val="标题 2 字符"/>
    <w:basedOn w:val="13"/>
    <w:link w:val="5"/>
    <w:autoRedefine/>
    <w:qFormat/>
    <w:uiPriority w:val="9"/>
    <w:rPr>
      <w:rFonts w:ascii="黑体" w:hAnsi="黑体" w:eastAsia="黑体"/>
      <w:b/>
      <w:sz w:val="32"/>
      <w:szCs w:val="30"/>
    </w:rPr>
  </w:style>
  <w:style w:type="character" w:customStyle="1" w:styleId="15">
    <w:name w:val="页眉 字符"/>
    <w:basedOn w:val="13"/>
    <w:link w:val="11"/>
    <w:qFormat/>
    <w:uiPriority w:val="0"/>
    <w:rPr>
      <w:kern w:val="2"/>
      <w:sz w:val="18"/>
      <w:szCs w:val="18"/>
    </w:rPr>
  </w:style>
  <w:style w:type="character" w:customStyle="1" w:styleId="16">
    <w:name w:val="页脚 字符"/>
    <w:basedOn w:val="13"/>
    <w:link w:val="10"/>
    <w:qFormat/>
    <w:uiPriority w:val="0"/>
    <w:rPr>
      <w:kern w:val="2"/>
      <w:sz w:val="18"/>
      <w:szCs w:val="18"/>
    </w:rPr>
  </w:style>
  <w:style w:type="paragraph" w:customStyle="1" w:styleId="17">
    <w:name w:val="样式9"/>
    <w:basedOn w:val="1"/>
    <w:qFormat/>
    <w:uiPriority w:val="0"/>
    <w:pPr>
      <w:tabs>
        <w:tab w:val="left" w:pos="312"/>
        <w:tab w:val="left" w:pos="575"/>
      </w:tabs>
    </w:pPr>
    <w:rPr>
      <w:rFonts w:ascii="Calibri" w:hAnsi="Calibri" w:eastAsia="宋体" w:cs="Times New Roman"/>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2003</Words>
  <Characters>2248</Characters>
  <Lines>11</Lines>
  <Paragraphs>3</Paragraphs>
  <TotalTime>0</TotalTime>
  <ScaleCrop>false</ScaleCrop>
  <LinksUpToDate>false</LinksUpToDate>
  <CharactersWithSpaces>2249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2024-01-29T07:26:00Z</dcterms:created>
  <dc:creator>Dell</dc:creator>
  <cp:lastModifiedBy>渔我同行</cp:lastModifiedBy>
  <dcterms:modified xsi:type="dcterms:W3CDTF">2025-01-08T09:31:28Z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90E6FF2EBB654919A401D0A36148D95E_13</vt:lpwstr>
  </property>
  <property fmtid="{D5CDD505-2E9C-101B-9397-08002B2CF9AE}" pid="4" name="KSOTemplateDocerSaveRecord">
    <vt:lpwstr>eyJoZGlkIjoiMTJmOGU4NDBlZDIyNWYzZWVhNzQ4ZGI5YjEzNmQxZjUiLCJ1c2VySWQiOiIyNDIyNjc4NzUifQ==</vt:lpwstr>
  </property>
</Properties>
</file>